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contextualSpacing w:val="0"/>
        <w:jc w:val="center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LIBRAT E BIBLËS (Nr.)</w:t>
      </w:r>
    </w:p>
    <w:p w:rsidR="00000000" w:rsidDel="00000000" w:rsidP="00000000" w:rsidRDefault="00000000" w:rsidRPr="00000000">
      <w:pPr>
        <w:contextualSpacing w:val="0"/>
        <w:rPr>
          <w:rFonts w:ascii="Playfair Display" w:cs="Playfair Display" w:eastAsia="Playfair Display" w:hAnsi="Playfair Displ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Playfair Display" w:cs="Playfair Display" w:eastAsia="Playfair Display" w:hAnsi="Playfair Display"/>
          <w:b w:val="1"/>
          <w:u w:val="single"/>
        </w:rPr>
      </w:pPr>
      <w:r w:rsidDel="00000000" w:rsidR="00000000" w:rsidRPr="00000000">
        <w:rPr>
          <w:rFonts w:ascii="Playfair Display" w:cs="Playfair Display" w:eastAsia="Playfair Display" w:hAnsi="Playfair Display"/>
          <w:b w:val="1"/>
          <w:u w:val="single"/>
          <w:rtl w:val="0"/>
        </w:rPr>
        <w:t xml:space="preserve">Dhiata e Vjetër</w:t>
      </w:r>
    </w:p>
    <w:p w:rsidR="00000000" w:rsidDel="00000000" w:rsidP="00000000" w:rsidRDefault="00000000" w:rsidRPr="00000000">
      <w:pPr>
        <w:contextualSpacing w:val="0"/>
        <w:rPr>
          <w:rFonts w:ascii="Playfair Display" w:cs="Playfair Display" w:eastAsia="Playfair Display" w:hAnsi="Playfair Display"/>
        </w:rPr>
        <w:sectPr>
          <w:headerReference r:id="rId5" w:type="default"/>
          <w:footerReference r:id="rId6" w:type="default"/>
          <w:pgSz w:h="16834" w:w="11909"/>
          <w:pgMar w:bottom="1440" w:top="1440" w:left="1440" w:right="1440" w:header="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Playfair Display" w:cs="Playfair Display" w:eastAsia="Playfair Display" w:hAnsi="Playfair Display"/>
        </w:rPr>
        <w:sectPr>
          <w:type w:val="continuous"/>
          <w:pgSz w:h="16834" w:w="11909"/>
          <w:pgMar w:bottom="1440" w:top="1440" w:left="1440" w:right="1440" w:header="0"/>
          <w:cols w:equalWidth="0" w:num="2">
            <w:col w:space="720" w:w="4152.74"/>
            <w:col w:space="0" w:w="4152.74"/>
          </w:cols>
        </w:sectPr>
      </w:pPr>
      <w:r w:rsidDel="00000000" w:rsidR="00000000" w:rsidRPr="00000000">
        <w:rPr>
          <w:rFonts w:ascii="Playfair Display" w:cs="Playfair Display" w:eastAsia="Playfair Display" w:hAnsi="Playfair Display"/>
          <w:rtl w:val="0"/>
        </w:rPr>
        <w:t xml:space="preserve">Zanafilla</w:t>
        <w:br w:type="textWrapping"/>
        <w:t xml:space="preserve">Eksodi</w:t>
        <w:br w:type="textWrapping"/>
        <w:t xml:space="preserve">Levítivo</w:t>
        <w:br w:type="textWrapping"/>
        <w:t xml:space="preserve">Numrat</w:t>
        <w:br w:type="textWrapping"/>
        <w:t xml:space="preserve">Ligji i Përtërirë</w:t>
        <w:br w:type="textWrapping"/>
        <w:t xml:space="preserve">Jozueu</w:t>
        <w:br w:type="textWrapping"/>
        <w:t xml:space="preserve">Gjyqtarët</w:t>
        <w:br w:type="textWrapping"/>
        <w:t xml:space="preserve">Ruthi</w:t>
        <w:br w:type="textWrapping"/>
        <w:t xml:space="preserve">1 Samuelit</w:t>
        <w:br w:type="textWrapping"/>
        <w:t xml:space="preserve">2 Samuelit</w:t>
        <w:br w:type="textWrapping"/>
        <w:t xml:space="preserve">1 Mbretërve</w:t>
        <w:br w:type="textWrapping"/>
        <w:t xml:space="preserve">2 Mbretërve</w:t>
        <w:br w:type="textWrapping"/>
        <w:t xml:space="preserve">1 Kronikave</w:t>
        <w:br w:type="textWrapping"/>
        <w:t xml:space="preserve">2 Kronikave</w:t>
        <w:br w:type="textWrapping"/>
        <w:t xml:space="preserve">Esdra</w:t>
        <w:br w:type="textWrapping"/>
        <w:t xml:space="preserve">Nehemia</w:t>
        <w:br w:type="textWrapping"/>
        <w:t xml:space="preserve">Ester</w:t>
        <w:br w:type="textWrapping"/>
        <w:t xml:space="preserve">Jobi</w:t>
        <w:br w:type="textWrapping"/>
        <w:t xml:space="preserve">Psalmet</w:t>
        <w:br w:type="textWrapping"/>
        <w:t xml:space="preserve">Fjalët e urta</w:t>
        <w:br w:type="textWrapping"/>
        <w:t xml:space="preserve">Predikuesi</w:t>
        <w:br w:type="textWrapping"/>
        <w:t xml:space="preserve">Kantiku i Kantikëve</w:t>
        <w:br w:type="textWrapping"/>
        <w:t xml:space="preserve">Isaia</w:t>
        <w:br w:type="textWrapping"/>
        <w:t xml:space="preserve">Jeremia</w:t>
        <w:br w:type="textWrapping"/>
        <w:t xml:space="preserve">Vajtimet</w:t>
        <w:br w:type="textWrapping"/>
        <w:t xml:space="preserve">Ezekieli</w:t>
        <w:br w:type="textWrapping"/>
        <w:t xml:space="preserve">Danieli</w:t>
        <w:br w:type="textWrapping"/>
        <w:t xml:space="preserve">Osea</w:t>
        <w:br w:type="textWrapping"/>
        <w:t xml:space="preserve">Joeli</w:t>
        <w:br w:type="textWrapping"/>
        <w:t xml:space="preserve">Amosi</w:t>
        <w:br w:type="textWrapping"/>
        <w:t xml:space="preserve">Abdia</w:t>
        <w:br w:type="textWrapping"/>
        <w:t xml:space="preserve">Jona</w:t>
        <w:br w:type="textWrapping"/>
        <w:t xml:space="preserve">Mikea</w:t>
        <w:br w:type="textWrapping"/>
        <w:t xml:space="preserve">Nahumi</w:t>
        <w:br w:type="textWrapping"/>
        <w:t xml:space="preserve">Habakuku</w:t>
        <w:br w:type="textWrapping"/>
        <w:t xml:space="preserve">Sofonia</w:t>
        <w:br w:type="textWrapping"/>
        <w:t xml:space="preserve">Hagai</w:t>
        <w:br w:type="textWrapping"/>
        <w:t xml:space="preserve">Zakaria</w:t>
        <w:br w:type="textWrapping"/>
        <w:t xml:space="preserve">Malakia</w:t>
      </w:r>
    </w:p>
    <w:p w:rsidR="00000000" w:rsidDel="00000000" w:rsidP="00000000" w:rsidRDefault="00000000" w:rsidRPr="00000000">
      <w:pPr>
        <w:contextualSpacing w:val="0"/>
        <w:rPr>
          <w:rFonts w:ascii="Playfair Display" w:cs="Playfair Display" w:eastAsia="Playfair Display" w:hAnsi="Playfair Displ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Playfair Display" w:cs="Playfair Display" w:eastAsia="Playfair Display" w:hAnsi="Playfair Display"/>
          <w:b w:val="1"/>
          <w:u w:val="single"/>
        </w:rPr>
      </w:pPr>
      <w:r w:rsidDel="00000000" w:rsidR="00000000" w:rsidRPr="00000000">
        <w:rPr>
          <w:rFonts w:ascii="Playfair Display" w:cs="Playfair Display" w:eastAsia="Playfair Display" w:hAnsi="Playfair Display"/>
          <w:b w:val="1"/>
          <w:u w:val="single"/>
          <w:rtl w:val="0"/>
        </w:rPr>
        <w:t xml:space="preserve">Dhiata e Re</w:t>
      </w:r>
    </w:p>
    <w:p w:rsidR="00000000" w:rsidDel="00000000" w:rsidP="00000000" w:rsidRDefault="00000000" w:rsidRPr="00000000">
      <w:pPr>
        <w:contextualSpacing w:val="0"/>
        <w:rPr>
          <w:rFonts w:ascii="Playfair Display" w:cs="Playfair Display" w:eastAsia="Playfair Display" w:hAnsi="Playfair Display"/>
          <w:b w:val="1"/>
          <w:u w:val="single"/>
        </w:rPr>
        <w:sectPr>
          <w:type w:val="continuous"/>
          <w:pgSz w:h="16834" w:w="11909"/>
          <w:pgMar w:bottom="1440" w:top="1440" w:left="1440" w:right="1440" w:header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Playfair Display" w:cs="Playfair Display" w:eastAsia="Playfair Display" w:hAnsi="Playfair Display"/>
        </w:rPr>
        <w:sectPr>
          <w:type w:val="continuous"/>
          <w:pgSz w:h="16834" w:w="11909"/>
          <w:pgMar w:bottom="1440" w:top="1440" w:left="1440" w:right="1440" w:header="0"/>
          <w:cols w:equalWidth="0" w:num="2">
            <w:col w:space="720" w:w="4152.74"/>
            <w:col w:space="0" w:w="4152.74"/>
          </w:cols>
        </w:sectPr>
      </w:pPr>
      <w:r w:rsidDel="00000000" w:rsidR="00000000" w:rsidRPr="00000000">
        <w:rPr>
          <w:rFonts w:ascii="Playfair Display" w:cs="Playfair Display" w:eastAsia="Playfair Display" w:hAnsi="Playfair Display"/>
          <w:rtl w:val="0"/>
        </w:rPr>
        <w:t xml:space="preserve">Mateu</w:t>
      </w:r>
      <w:r w:rsidDel="00000000" w:rsidR="00000000" w:rsidRPr="00000000">
        <w:rPr>
          <w:rFonts w:ascii="Playfair Display" w:cs="Playfair Display" w:eastAsia="Playfair Display" w:hAnsi="Playfair Display"/>
          <w:rtl w:val="0"/>
        </w:rPr>
        <w:br w:type="textWrapping"/>
        <w:t xml:space="preserve">Marku</w:t>
        <w:br w:type="textWrapping"/>
        <w:t xml:space="preserve">Lluka</w:t>
        <w:br w:type="textWrapping"/>
        <w:t xml:space="preserve">Gjoni</w:t>
        <w:br w:type="textWrapping"/>
        <w:t xml:space="preserve">Veprat</w:t>
        <w:br w:type="textWrapping"/>
        <w:t xml:space="preserve">Romakeve</w:t>
        <w:br w:type="textWrapping"/>
        <w:t xml:space="preserve">I Korintasve</w:t>
        <w:br w:type="textWrapping"/>
        <w:t xml:space="preserve">II Korintasve</w:t>
        <w:br w:type="textWrapping"/>
        <w:t xml:space="preserve">Galatasve</w:t>
        <w:br w:type="textWrapping"/>
        <w:t xml:space="preserve">Efesianeve</w:t>
        <w:br w:type="textWrapping"/>
        <w:t xml:space="preserve">Filipianeve</w:t>
        <w:br w:type="textWrapping"/>
        <w:t xml:space="preserve">Kolosianeve</w:t>
        <w:br w:type="textWrapping"/>
        <w:t xml:space="preserve">I Selanikasve</w:t>
        <w:br w:type="textWrapping"/>
        <w:t xml:space="preserve">II Selanikasve</w:t>
        <w:br w:type="textWrapping"/>
        <w:t xml:space="preserve">I Timoteut</w:t>
        <w:br w:type="textWrapping"/>
        <w:t xml:space="preserve">II Timoteut</w:t>
        <w:br w:type="textWrapping"/>
        <w:t xml:space="preserve">Titit</w:t>
        <w:br w:type="textWrapping"/>
        <w:t xml:space="preserve">Filemonit</w:t>
        <w:br w:type="textWrapping"/>
        <w:t xml:space="preserve">Hebrenjte</w:t>
        <w:br w:type="textWrapping"/>
        <w:t xml:space="preserve">Jakobi</w:t>
        <w:br w:type="textWrapping"/>
        <w:t xml:space="preserve">I Pjetri</w:t>
        <w:br w:type="textWrapping"/>
        <w:t xml:space="preserve">II Pjetri</w:t>
        <w:br w:type="textWrapping"/>
        <w:t xml:space="preserve">I Gjoni</w:t>
        <w:br w:type="textWrapping"/>
        <w:t xml:space="preserve">II Gjoni</w:t>
        <w:br w:type="textWrapping"/>
        <w:t xml:space="preserve">III Gjoni</w:t>
        <w:br w:type="textWrapping"/>
        <w:t xml:space="preserve">Juda -</w:t>
        <w:br w:type="textWrapping"/>
        <w:t xml:space="preserve">Zbulesa</w:t>
      </w:r>
    </w:p>
    <w:p w:rsidR="00000000" w:rsidDel="00000000" w:rsidP="00000000" w:rsidRDefault="00000000" w:rsidRPr="00000000">
      <w:pPr>
        <w:contextualSpacing w:val="0"/>
        <w:rPr>
          <w:rFonts w:ascii="Playfair Display" w:cs="Playfair Display" w:eastAsia="Playfair Display" w:hAnsi="Playfair Displ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Playfair Display" w:cs="Playfair Display" w:eastAsia="Playfair Display" w:hAnsi="Playfair Display"/>
        </w:rPr>
      </w:pPr>
      <w:r w:rsidDel="00000000" w:rsidR="00000000" w:rsidRPr="00000000">
        <w:rPr>
          <w:rFonts w:ascii="Playfair Display" w:cs="Playfair Display" w:eastAsia="Playfair Display" w:hAnsi="Playfair Display"/>
          <w:rtl w:val="0"/>
        </w:rPr>
        <w:t xml:space="preserve">Viti:</w:t>
      </w:r>
    </w:p>
    <w:p w:rsidR="00000000" w:rsidDel="00000000" w:rsidP="00000000" w:rsidRDefault="00000000" w:rsidRPr="00000000">
      <w:pPr>
        <w:contextualSpacing w:val="0"/>
        <w:rPr>
          <w:rFonts w:ascii="Playfair Display" w:cs="Playfair Display" w:eastAsia="Playfair Display" w:hAnsi="Playfair Display"/>
        </w:rPr>
      </w:pPr>
      <w:r w:rsidDel="00000000" w:rsidR="00000000" w:rsidRPr="00000000">
        <w:rPr>
          <w:rFonts w:ascii="Playfair Display" w:cs="Playfair Display" w:eastAsia="Playfair Display" w:hAnsi="Playfair Display"/>
          <w:rtl w:val="0"/>
        </w:rPr>
        <w:t xml:space="preserve">Filloi (data):</w:t>
      </w:r>
    </w:p>
    <w:p w:rsidR="00000000" w:rsidDel="00000000" w:rsidP="00000000" w:rsidRDefault="00000000" w:rsidRPr="00000000">
      <w:pPr>
        <w:contextualSpacing w:val="0"/>
        <w:rPr>
          <w:rFonts w:ascii="Playfair Display" w:cs="Playfair Display" w:eastAsia="Playfair Display" w:hAnsi="Playfair Display"/>
        </w:rPr>
      </w:pPr>
      <w:r w:rsidDel="00000000" w:rsidR="00000000" w:rsidRPr="00000000">
        <w:rPr>
          <w:rFonts w:ascii="Playfair Display" w:cs="Playfair Display" w:eastAsia="Playfair Display" w:hAnsi="Playfair Display"/>
          <w:rtl w:val="0"/>
        </w:rPr>
        <w:t xml:space="preserve">Përfunduar (data):</w:t>
      </w:r>
    </w:p>
    <w:p w:rsidR="00000000" w:rsidDel="00000000" w:rsidP="00000000" w:rsidRDefault="00000000" w:rsidRPr="00000000">
      <w:pPr>
        <w:contextualSpacing w:val="0"/>
        <w:rPr>
          <w:rFonts w:ascii="Playfair Display" w:cs="Playfair Display" w:eastAsia="Playfair Display" w:hAnsi="Playfair Display"/>
        </w:rPr>
      </w:pPr>
      <w:r w:rsidDel="00000000" w:rsidR="00000000" w:rsidRPr="00000000">
        <w:rPr>
          <w:rtl w:val="0"/>
        </w:rPr>
      </w:r>
    </w:p>
    <w:sectPr>
      <w:type w:val="continuous"/>
      <w:pgSz w:h="16834" w:w="11909"/>
      <w:pgMar w:bottom="1440" w:top="1440" w:left="1440" w:right="1440" w:header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Calibri"/>
  <w:font w:name="Playfair Display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contextualSpacing w:val="0"/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tabs>
        <w:tab w:val="center" w:pos="4536"/>
        <w:tab w:val="right" w:pos="9072"/>
      </w:tabs>
      <w:spacing w:before="708" w:line="240" w:lineRule="auto"/>
      <w:contextualSpacing w:val="0"/>
      <w:jc w:val="center"/>
      <w:rPr/>
    </w:pPr>
    <w:r w:rsidDel="00000000" w:rsidR="00000000" w:rsidRPr="00000000">
      <w:rPr>
        <w:rFonts w:ascii="Calibri" w:cs="Calibri" w:eastAsia="Calibri" w:hAnsi="Calibri"/>
        <w:i w:val="1"/>
        <w:rtl w:val="0"/>
      </w:rPr>
      <w:t xml:space="preserve">Shpresë e Gjallë- Pista Pajisëse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  <w:lang w:val="en_GB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  <w:contextualSpacing w:val="1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  <w:contextualSpacing w:val="1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  <w:contextualSpacing w:val="1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  <w:contextualSpacing w:val="1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  <w:contextualSpacing w:val="1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  <w:contextualSpacing w:val="1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  <w:contextualSpacing w:val="1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  <w:contextualSpacing w:val="1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fairDisplay-regular.ttf"/><Relationship Id="rId2" Type="http://schemas.openxmlformats.org/officeDocument/2006/relationships/font" Target="fonts/PlayfairDisplay-bold.ttf"/><Relationship Id="rId3" Type="http://schemas.openxmlformats.org/officeDocument/2006/relationships/font" Target="fonts/PlayfairDisplay-italic.ttf"/><Relationship Id="rId4" Type="http://schemas.openxmlformats.org/officeDocument/2006/relationships/font" Target="fonts/PlayfairDisplay-boldItalic.ttf"/></Relationships>
</file>